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BFE" w:rsidRDefault="001E05A8">
      <w:pPr>
        <w:framePr w:h="1046" w:wrap="notBeside" w:vAnchor="text" w:hAnchor="text" w:y="1"/>
        <w:rPr>
          <w:sz w:val="2"/>
          <w:szCs w:val="2"/>
        </w:rPr>
      </w:pPr>
      <w:r>
        <w:rPr>
          <w:noProof/>
        </w:rPr>
        <w:drawing>
          <wp:inline distT="0" distB="0" distL="0" distR="0">
            <wp:extent cx="1143000" cy="662940"/>
            <wp:effectExtent l="0" t="0" r="0" b="0"/>
            <wp:docPr id="5" name="Obraz 1" descr="C:\Users\znach\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nach\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62940"/>
                    </a:xfrm>
                    <a:prstGeom prst="rect">
                      <a:avLst/>
                    </a:prstGeom>
                    <a:noFill/>
                    <a:ln>
                      <a:noFill/>
                    </a:ln>
                  </pic:spPr>
                </pic:pic>
              </a:graphicData>
            </a:graphic>
          </wp:inline>
        </w:drawing>
      </w:r>
    </w:p>
    <w:p w:rsidR="007F5BFE" w:rsidRDefault="007F5BFE">
      <w:pPr>
        <w:rPr>
          <w:sz w:val="2"/>
          <w:szCs w:val="2"/>
        </w:rPr>
      </w:pPr>
    </w:p>
    <w:p w:rsidR="007F5BFE" w:rsidRDefault="005834E8">
      <w:pPr>
        <w:pStyle w:val="Bodytext30"/>
        <w:shd w:val="clear" w:color="auto" w:fill="auto"/>
        <w:spacing w:before="751" w:after="1697" w:line="240" w:lineRule="exact"/>
        <w:ind w:left="20" w:firstLine="0"/>
      </w:pPr>
      <w:r>
        <w:t>THE PREPAID CARD OPERATION RULES</w:t>
      </w:r>
    </w:p>
    <w:p w:rsidR="007F5BFE" w:rsidRDefault="005834E8">
      <w:pPr>
        <w:pStyle w:val="Heading30"/>
        <w:keepNext/>
        <w:keepLines/>
        <w:shd w:val="clear" w:color="auto" w:fill="auto"/>
        <w:spacing w:before="0" w:after="199" w:line="300" w:lineRule="exact"/>
        <w:ind w:left="20"/>
      </w:pPr>
      <w:bookmarkStart w:id="0" w:name="bookmark0"/>
      <w:r>
        <w:rPr>
          <w:rStyle w:val="Heading31"/>
        </w:rPr>
        <w:t>§ 1</w:t>
      </w:r>
      <w:bookmarkEnd w:id="0"/>
    </w:p>
    <w:p w:rsidR="007F5BFE" w:rsidRDefault="005834E8">
      <w:pPr>
        <w:pStyle w:val="Heading30"/>
        <w:keepNext/>
        <w:keepLines/>
        <w:shd w:val="clear" w:color="auto" w:fill="auto"/>
        <w:spacing w:before="0" w:after="914" w:line="300" w:lineRule="exact"/>
        <w:ind w:left="20"/>
      </w:pPr>
      <w:bookmarkStart w:id="1" w:name="bookmark1"/>
      <w:r>
        <w:rPr>
          <w:rStyle w:val="Heading31"/>
        </w:rPr>
        <w:t>GENERAL PROVISIONS</w:t>
      </w:r>
      <w:bookmarkEnd w:id="1"/>
    </w:p>
    <w:p w:rsidR="007F5BFE" w:rsidRDefault="005834E8">
      <w:pPr>
        <w:pStyle w:val="Bodytext20"/>
        <w:numPr>
          <w:ilvl w:val="0"/>
          <w:numId w:val="1"/>
        </w:numPr>
        <w:shd w:val="clear" w:color="auto" w:fill="auto"/>
        <w:tabs>
          <w:tab w:val="left" w:pos="728"/>
        </w:tabs>
        <w:spacing w:before="0"/>
        <w:ind w:left="740"/>
      </w:pPr>
      <w:r>
        <w:t xml:space="preserve">Contact data: </w:t>
      </w:r>
      <w:proofErr w:type="spellStart"/>
      <w:r>
        <w:t>Toruń</w:t>
      </w:r>
      <w:proofErr w:type="spellEnd"/>
      <w:r>
        <w:t xml:space="preserve"> Symphony Orchestra (hereinafter referred to as "TOS"),</w:t>
      </w:r>
    </w:p>
    <w:p w:rsidR="007F5BFE" w:rsidRDefault="005834E8">
      <w:pPr>
        <w:pStyle w:val="Bodytext20"/>
        <w:shd w:val="clear" w:color="auto" w:fill="auto"/>
        <w:spacing w:before="0"/>
        <w:ind w:left="740" w:firstLine="0"/>
        <w:jc w:val="left"/>
      </w:pPr>
      <w:proofErr w:type="spellStart"/>
      <w:r>
        <w:t>Aleja</w:t>
      </w:r>
      <w:proofErr w:type="spellEnd"/>
      <w:r>
        <w:t xml:space="preserve"> </w:t>
      </w:r>
      <w:proofErr w:type="spellStart"/>
      <w:r>
        <w:t>Solidarności</w:t>
      </w:r>
      <w:proofErr w:type="spellEnd"/>
      <w:r>
        <w:t xml:space="preserve"> 1-3, 87-100 </w:t>
      </w:r>
      <w:proofErr w:type="spellStart"/>
      <w:r>
        <w:t>Toruń</w:t>
      </w:r>
      <w:proofErr w:type="spellEnd"/>
      <w:r>
        <w:t>,</w:t>
      </w:r>
    </w:p>
    <w:p w:rsidR="007F5BFE" w:rsidRDefault="005834E8">
      <w:pPr>
        <w:pStyle w:val="Bodytext20"/>
        <w:shd w:val="clear" w:color="auto" w:fill="auto"/>
        <w:spacing w:before="0"/>
        <w:ind w:left="740" w:firstLine="0"/>
        <w:jc w:val="left"/>
      </w:pPr>
      <w:r>
        <w:t xml:space="preserve">tel./fax.: +48 56 622 88 05, e-mail: </w:t>
      </w:r>
      <w:hyperlink r:id="rId8" w:history="1">
        <w:r>
          <w:rPr>
            <w:rStyle w:val="Hipercze"/>
          </w:rPr>
          <w:t>sekretariat@tos.art.pl</w:t>
        </w:r>
      </w:hyperlink>
      <w:r>
        <w:t>.</w:t>
      </w:r>
    </w:p>
    <w:p w:rsidR="007F5BFE" w:rsidRDefault="005834E8">
      <w:pPr>
        <w:pStyle w:val="Bodytext20"/>
        <w:numPr>
          <w:ilvl w:val="0"/>
          <w:numId w:val="1"/>
        </w:numPr>
        <w:shd w:val="clear" w:color="auto" w:fill="auto"/>
        <w:tabs>
          <w:tab w:val="left" w:pos="734"/>
        </w:tabs>
        <w:spacing w:before="0"/>
        <w:ind w:left="740"/>
      </w:pPr>
      <w:proofErr w:type="spellStart"/>
      <w:r>
        <w:t>Toruń</w:t>
      </w:r>
      <w:proofErr w:type="spellEnd"/>
      <w:r>
        <w:t xml:space="preserve"> Symphony Orchestra is financed from the resources of </w:t>
      </w:r>
      <w:proofErr w:type="spellStart"/>
      <w:r>
        <w:t>Toruń</w:t>
      </w:r>
      <w:proofErr w:type="spellEnd"/>
      <w:r>
        <w:t xml:space="preserve"> municipality. These Regulations (hereinafter referred to as the ‘Regulations’) set out the principles of operation for the prepaid card issued by </w:t>
      </w:r>
      <w:proofErr w:type="spellStart"/>
      <w:r>
        <w:t>Toruń</w:t>
      </w:r>
      <w:proofErr w:type="spellEnd"/>
      <w:r>
        <w:t xml:space="preserve"> Symphony Orchestra.</w:t>
      </w:r>
    </w:p>
    <w:p w:rsidR="007F5BFE" w:rsidRDefault="005834E8">
      <w:pPr>
        <w:pStyle w:val="Bodytext20"/>
        <w:numPr>
          <w:ilvl w:val="0"/>
          <w:numId w:val="1"/>
        </w:numPr>
        <w:shd w:val="clear" w:color="auto" w:fill="auto"/>
        <w:tabs>
          <w:tab w:val="left" w:pos="734"/>
        </w:tabs>
        <w:spacing w:before="0"/>
        <w:ind w:left="740"/>
      </w:pPr>
      <w:r>
        <w:t>If these Regulations refer to:</w:t>
      </w:r>
    </w:p>
    <w:p w:rsidR="007F5BFE" w:rsidRDefault="005834E8">
      <w:pPr>
        <w:pStyle w:val="Bodytext20"/>
        <w:numPr>
          <w:ilvl w:val="0"/>
          <w:numId w:val="2"/>
        </w:numPr>
        <w:shd w:val="clear" w:color="auto" w:fill="auto"/>
        <w:tabs>
          <w:tab w:val="left" w:pos="1508"/>
        </w:tabs>
        <w:spacing w:before="0" w:line="278" w:lineRule="exact"/>
        <w:ind w:left="1500"/>
        <w:jc w:val="left"/>
      </w:pPr>
      <w:r>
        <w:t xml:space="preserve">‘events’ – they should be understood as concerts and other forms of statutory activity organised by </w:t>
      </w:r>
      <w:proofErr w:type="spellStart"/>
      <w:r>
        <w:t>Toruń</w:t>
      </w:r>
      <w:proofErr w:type="spellEnd"/>
      <w:r>
        <w:t xml:space="preserve"> Symphony Orchestra with the participation of the audience,</w:t>
      </w:r>
    </w:p>
    <w:p w:rsidR="007F5BFE" w:rsidRDefault="005834E8">
      <w:pPr>
        <w:pStyle w:val="Bodytext20"/>
        <w:numPr>
          <w:ilvl w:val="0"/>
          <w:numId w:val="2"/>
        </w:numPr>
        <w:shd w:val="clear" w:color="auto" w:fill="auto"/>
        <w:tabs>
          <w:tab w:val="left" w:pos="1532"/>
        </w:tabs>
        <w:spacing w:before="0" w:after="240"/>
        <w:ind w:left="1500"/>
        <w:jc w:val="left"/>
      </w:pPr>
      <w:r>
        <w:t>prepaid card – a document issued in a paper form that contains the data of the document issuer, and bears the expiry date and an individual identification mark in the form of a bar code.</w:t>
      </w:r>
    </w:p>
    <w:p w:rsidR="007F5BFE" w:rsidRDefault="005834E8">
      <w:pPr>
        <w:pStyle w:val="Bodytext30"/>
        <w:numPr>
          <w:ilvl w:val="0"/>
          <w:numId w:val="1"/>
        </w:numPr>
        <w:shd w:val="clear" w:color="auto" w:fill="auto"/>
        <w:tabs>
          <w:tab w:val="left" w:pos="738"/>
        </w:tabs>
        <w:spacing w:before="0" w:after="0" w:line="274" w:lineRule="exact"/>
        <w:ind w:left="740"/>
        <w:jc w:val="both"/>
      </w:pPr>
      <w:r>
        <w:t xml:space="preserve">A prepaid card entitles you to purchase tickets for on-site events of </w:t>
      </w:r>
      <w:proofErr w:type="spellStart"/>
      <w:r>
        <w:t>Toruń</w:t>
      </w:r>
      <w:proofErr w:type="spellEnd"/>
      <w:r>
        <w:t xml:space="preserve"> Symphony Orchestra.</w:t>
      </w:r>
    </w:p>
    <w:p w:rsidR="007F5BFE" w:rsidRDefault="005834E8">
      <w:pPr>
        <w:pStyle w:val="Bodytext20"/>
        <w:numPr>
          <w:ilvl w:val="0"/>
          <w:numId w:val="1"/>
        </w:numPr>
        <w:shd w:val="clear" w:color="auto" w:fill="auto"/>
        <w:tabs>
          <w:tab w:val="left" w:pos="738"/>
        </w:tabs>
        <w:spacing w:before="0" w:after="1123" w:line="278" w:lineRule="exact"/>
        <w:ind w:left="740"/>
      </w:pPr>
      <w:r>
        <w:t>Collecting and topping up the prepaid card means acceptance of the Regulations and a commitment to their application.</w:t>
      </w:r>
    </w:p>
    <w:p w:rsidR="007F5BFE" w:rsidRDefault="005834E8">
      <w:pPr>
        <w:pStyle w:val="Heading30"/>
        <w:keepNext/>
        <w:keepLines/>
        <w:shd w:val="clear" w:color="auto" w:fill="auto"/>
        <w:spacing w:before="0" w:after="262" w:line="300" w:lineRule="exact"/>
        <w:ind w:left="20"/>
      </w:pPr>
      <w:bookmarkStart w:id="2" w:name="bookmark2"/>
      <w:r>
        <w:rPr>
          <w:rStyle w:val="Heading31"/>
        </w:rPr>
        <w:t>§ 2</w:t>
      </w:r>
      <w:bookmarkEnd w:id="2"/>
    </w:p>
    <w:p w:rsidR="007F5BFE" w:rsidRDefault="005834E8">
      <w:pPr>
        <w:pStyle w:val="Heading30"/>
        <w:keepNext/>
        <w:keepLines/>
        <w:shd w:val="clear" w:color="auto" w:fill="auto"/>
        <w:spacing w:before="0" w:after="554" w:line="300" w:lineRule="exact"/>
        <w:ind w:left="20"/>
      </w:pPr>
      <w:bookmarkStart w:id="3" w:name="bookmark3"/>
      <w:r>
        <w:rPr>
          <w:rStyle w:val="Heading31"/>
        </w:rPr>
        <w:t>COLLECTING A PREPAID CARD</w:t>
      </w:r>
      <w:bookmarkEnd w:id="3"/>
    </w:p>
    <w:p w:rsidR="007F5BFE" w:rsidRDefault="005834E8">
      <w:pPr>
        <w:pStyle w:val="Bodytext20"/>
        <w:numPr>
          <w:ilvl w:val="0"/>
          <w:numId w:val="3"/>
        </w:numPr>
        <w:shd w:val="clear" w:color="auto" w:fill="auto"/>
        <w:tabs>
          <w:tab w:val="left" w:pos="728"/>
        </w:tabs>
        <w:spacing w:before="0"/>
        <w:ind w:left="740"/>
      </w:pPr>
      <w:r>
        <w:t xml:space="preserve">A prepaid card may be collected at TOS ticket office located at CKK </w:t>
      </w:r>
      <w:proofErr w:type="spellStart"/>
      <w:r>
        <w:t>Jordanki</w:t>
      </w:r>
      <w:proofErr w:type="spellEnd"/>
      <w:r>
        <w:t xml:space="preserve">, </w:t>
      </w:r>
      <w:proofErr w:type="spellStart"/>
      <w:r>
        <w:t>Toruń</w:t>
      </w:r>
      <w:proofErr w:type="spellEnd"/>
      <w:r>
        <w:t xml:space="preserve">. Al. </w:t>
      </w:r>
      <w:proofErr w:type="spellStart"/>
      <w:r>
        <w:t>Solidarności</w:t>
      </w:r>
      <w:proofErr w:type="spellEnd"/>
      <w:r>
        <w:t xml:space="preserve"> 1-3, after topping up with a minimum amount of 40 PLN. From that point on, the card acquires the ACTIVE status.</w:t>
      </w:r>
    </w:p>
    <w:p w:rsidR="007F5BFE" w:rsidRDefault="005834E8" w:rsidP="00E56A89">
      <w:pPr>
        <w:pStyle w:val="Bodytext20"/>
        <w:numPr>
          <w:ilvl w:val="0"/>
          <w:numId w:val="3"/>
        </w:numPr>
        <w:shd w:val="clear" w:color="auto" w:fill="auto"/>
        <w:tabs>
          <w:tab w:val="left" w:pos="734"/>
        </w:tabs>
        <w:spacing w:before="0"/>
        <w:ind w:left="740"/>
      </w:pPr>
      <w:r>
        <w:t>A prepaid card is a payment method for transactions made at the</w:t>
      </w:r>
      <w:r w:rsidR="00E56A89">
        <w:t xml:space="preserve"> TOS</w:t>
      </w:r>
      <w:r>
        <w:t xml:space="preserve"> ticket office.</w:t>
      </w:r>
    </w:p>
    <w:p w:rsidR="00E56A89" w:rsidRDefault="00E56A89">
      <w:pPr>
        <w:pStyle w:val="Bodytext20"/>
        <w:shd w:val="clear" w:color="auto" w:fill="auto"/>
        <w:spacing w:before="0"/>
        <w:ind w:firstLine="0"/>
      </w:pPr>
    </w:p>
    <w:p w:rsidR="00E56A89" w:rsidRDefault="00E56A89">
      <w:pPr>
        <w:pStyle w:val="Bodytext20"/>
        <w:shd w:val="clear" w:color="auto" w:fill="auto"/>
        <w:spacing w:before="0"/>
        <w:ind w:firstLine="0"/>
      </w:pPr>
    </w:p>
    <w:p w:rsidR="00E56A89" w:rsidRDefault="00E56A89">
      <w:pPr>
        <w:pStyle w:val="Bodytext20"/>
        <w:shd w:val="clear" w:color="auto" w:fill="auto"/>
        <w:spacing w:before="0"/>
        <w:ind w:firstLine="0"/>
      </w:pPr>
    </w:p>
    <w:p w:rsidR="00E56A89" w:rsidRDefault="00E56A89">
      <w:pPr>
        <w:pStyle w:val="Bodytext20"/>
        <w:shd w:val="clear" w:color="auto" w:fill="auto"/>
        <w:spacing w:before="0"/>
        <w:ind w:firstLine="0"/>
      </w:pPr>
    </w:p>
    <w:p w:rsidR="00E56A89" w:rsidRDefault="00E56A89">
      <w:pPr>
        <w:pStyle w:val="Bodytext20"/>
        <w:shd w:val="clear" w:color="auto" w:fill="auto"/>
        <w:spacing w:before="0"/>
        <w:ind w:firstLine="0"/>
      </w:pPr>
    </w:p>
    <w:p w:rsidR="00E56A89" w:rsidRDefault="00E56A89">
      <w:pPr>
        <w:pStyle w:val="Bodytext20"/>
        <w:shd w:val="clear" w:color="auto" w:fill="auto"/>
        <w:spacing w:before="0"/>
        <w:ind w:firstLine="0"/>
      </w:pPr>
      <w:bookmarkStart w:id="4" w:name="_GoBack"/>
      <w:bookmarkEnd w:id="4"/>
    </w:p>
    <w:p w:rsidR="00E56A89" w:rsidRDefault="00E56A89">
      <w:pPr>
        <w:pStyle w:val="Bodytext20"/>
        <w:shd w:val="clear" w:color="auto" w:fill="auto"/>
        <w:spacing w:before="0"/>
        <w:ind w:firstLine="0"/>
      </w:pPr>
    </w:p>
    <w:p w:rsidR="00E56A89" w:rsidRDefault="00E56A89">
      <w:pPr>
        <w:pStyle w:val="Bodytext20"/>
        <w:shd w:val="clear" w:color="auto" w:fill="auto"/>
        <w:spacing w:before="0"/>
        <w:ind w:firstLine="0"/>
      </w:pPr>
    </w:p>
    <w:p w:rsidR="00E56A89" w:rsidRDefault="00E56A89">
      <w:pPr>
        <w:pStyle w:val="Bodytext20"/>
        <w:shd w:val="clear" w:color="auto" w:fill="auto"/>
        <w:spacing w:before="0"/>
        <w:ind w:firstLine="0"/>
      </w:pPr>
    </w:p>
    <w:p w:rsidR="007F5BFE" w:rsidRDefault="001E05A8">
      <w:pPr>
        <w:pStyle w:val="Bodytext20"/>
        <w:shd w:val="clear" w:color="auto" w:fill="auto"/>
        <w:spacing w:before="0"/>
        <w:ind w:firstLine="0"/>
      </w:pPr>
      <w:r>
        <w:rPr>
          <w:noProof/>
        </w:rPr>
        <mc:AlternateContent>
          <mc:Choice Requires="wps">
            <w:drawing>
              <wp:anchor distT="682625" distB="1609725" distL="63500" distR="109855" simplePos="0" relativeHeight="377487105" behindDoc="1" locked="0" layoutInCell="1" allowOverlap="1">
                <wp:simplePos x="0" y="0"/>
                <wp:positionH relativeFrom="margin">
                  <wp:posOffset>199390</wp:posOffset>
                </wp:positionH>
                <wp:positionV relativeFrom="paragraph">
                  <wp:posOffset>-21590</wp:posOffset>
                </wp:positionV>
                <wp:extent cx="133985" cy="962660"/>
                <wp:effectExtent l="635" t="0" r="0" b="0"/>
                <wp:wrapSquare wrapText="righ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BFE" w:rsidRDefault="005834E8">
                            <w:pPr>
                              <w:pStyle w:val="Bodytext20"/>
                              <w:shd w:val="clear" w:color="auto" w:fill="auto"/>
                              <w:spacing w:before="0" w:after="278" w:line="240" w:lineRule="exact"/>
                              <w:ind w:firstLine="0"/>
                              <w:jc w:val="left"/>
                            </w:pPr>
                            <w:r>
                              <w:rPr>
                                <w:rStyle w:val="Bodytext2Exact"/>
                              </w:rPr>
                              <w:t>3.</w:t>
                            </w:r>
                          </w:p>
                          <w:p w:rsidR="007F5BFE" w:rsidRDefault="005834E8">
                            <w:pPr>
                              <w:pStyle w:val="Bodytext20"/>
                              <w:shd w:val="clear" w:color="auto" w:fill="auto"/>
                              <w:spacing w:before="0" w:after="518" w:line="240" w:lineRule="exact"/>
                              <w:ind w:firstLine="0"/>
                              <w:jc w:val="left"/>
                            </w:pPr>
                            <w:r>
                              <w:rPr>
                                <w:rStyle w:val="Bodytext2Exact"/>
                              </w:rPr>
                              <w:t>4.</w:t>
                            </w:r>
                          </w:p>
                          <w:p w:rsidR="007F5BFE" w:rsidRDefault="005834E8">
                            <w:pPr>
                              <w:pStyle w:val="Bodytext20"/>
                              <w:shd w:val="clear" w:color="auto" w:fill="auto"/>
                              <w:spacing w:before="0" w:line="240" w:lineRule="exact"/>
                              <w:ind w:firstLine="0"/>
                              <w:jc w:val="left"/>
                            </w:pPr>
                            <w:r>
                              <w:rPr>
                                <w:rStyle w:val="Bodytext2Exact"/>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7pt;margin-top:-1.7pt;width:10.55pt;height:75.8pt;z-index:-125829375;visibility:visible;mso-wrap-style:square;mso-width-percent:0;mso-height-percent:0;mso-wrap-distance-left:5pt;mso-wrap-distance-top:53.75pt;mso-wrap-distance-right:8.65pt;mso-wrap-distance-bottom:126.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ZqrAIAAKg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" filled="f" stroked="f">
                <v:textbox style="mso-fit-shape-to-text:t" inset="0,0,0,0">
                  <w:txbxContent>
                    <w:p w:rsidR="007F5BFE" w:rsidRDefault="005834E8">
                      <w:pPr>
                        <w:pStyle w:val="Bodytext20"/>
                        <w:shd w:val="clear" w:color="auto" w:fill="auto"/>
                        <w:spacing w:before="0" w:after="278" w:line="240" w:lineRule="exact"/>
                        <w:ind w:firstLine="0"/>
                        <w:jc w:val="left"/>
                      </w:pPr>
                      <w:r>
                        <w:rPr>
                          <w:rStyle w:val="Bodytext2Exact"/>
                        </w:rPr>
                        <w:t>3.</w:t>
                      </w:r>
                    </w:p>
                    <w:p w:rsidR="007F5BFE" w:rsidRDefault="005834E8">
                      <w:pPr>
                        <w:pStyle w:val="Bodytext20"/>
                        <w:shd w:val="clear" w:color="auto" w:fill="auto"/>
                        <w:spacing w:before="0" w:after="518" w:line="240" w:lineRule="exact"/>
                        <w:ind w:firstLine="0"/>
                        <w:jc w:val="left"/>
                      </w:pPr>
                      <w:r>
                        <w:rPr>
                          <w:rStyle w:val="Bodytext2Exact"/>
                        </w:rPr>
                        <w:t>4.</w:t>
                      </w:r>
                    </w:p>
                    <w:p w:rsidR="007F5BFE" w:rsidRDefault="005834E8">
                      <w:pPr>
                        <w:pStyle w:val="Bodytext20"/>
                        <w:shd w:val="clear" w:color="auto" w:fill="auto"/>
                        <w:spacing w:before="0" w:line="240" w:lineRule="exact"/>
                        <w:ind w:firstLine="0"/>
                        <w:jc w:val="left"/>
                      </w:pPr>
                      <w:r>
                        <w:rPr>
                          <w:rStyle w:val="Bodytext2Exact"/>
                        </w:rPr>
                        <w:t>5.</w:t>
                      </w:r>
                    </w:p>
                  </w:txbxContent>
                </v:textbox>
                <w10:wrap type="square" side="right" anchorx="margin"/>
              </v:shape>
            </w:pict>
          </mc:Fallback>
        </mc:AlternateContent>
      </w:r>
      <w:r>
        <w:t>A prepaid card can be topped up multiple times and funds can be used for multiple transactions.</w:t>
      </w:r>
    </w:p>
    <w:p w:rsidR="007F5BFE" w:rsidRDefault="005834E8">
      <w:pPr>
        <w:pStyle w:val="Bodytext20"/>
        <w:shd w:val="clear" w:color="auto" w:fill="auto"/>
        <w:spacing w:before="0"/>
        <w:ind w:firstLine="0"/>
      </w:pPr>
      <w:r>
        <w:t>The card purchase is confirmed by the document: the turnover of funds (accounting note); the sales document is issued only when the card funds are used.</w:t>
      </w:r>
    </w:p>
    <w:p w:rsidR="007F5BFE" w:rsidRDefault="005834E8">
      <w:pPr>
        <w:pStyle w:val="Bodytext20"/>
        <w:shd w:val="clear" w:color="auto" w:fill="auto"/>
        <w:spacing w:before="0" w:after="1359"/>
        <w:ind w:firstLine="0"/>
      </w:pPr>
      <w:r>
        <w:t>The funds transferred by the card holder become the full property of TOS upon issuance of the Card.</w:t>
      </w:r>
    </w:p>
    <w:p w:rsidR="007F5BFE" w:rsidRDefault="005834E8">
      <w:pPr>
        <w:pStyle w:val="Heading30"/>
        <w:keepNext/>
        <w:keepLines/>
        <w:shd w:val="clear" w:color="auto" w:fill="auto"/>
        <w:spacing w:before="0" w:after="262" w:line="300" w:lineRule="exact"/>
        <w:ind w:left="3640"/>
        <w:jc w:val="left"/>
      </w:pPr>
      <w:bookmarkStart w:id="5" w:name="bookmark5"/>
      <w:r>
        <w:rPr>
          <w:rStyle w:val="Heading31"/>
        </w:rPr>
        <w:t>§ 3</w:t>
      </w:r>
      <w:bookmarkEnd w:id="5"/>
    </w:p>
    <w:p w:rsidR="007F5BFE" w:rsidRDefault="005834E8">
      <w:pPr>
        <w:pStyle w:val="Heading30"/>
        <w:keepNext/>
        <w:keepLines/>
        <w:shd w:val="clear" w:color="auto" w:fill="auto"/>
        <w:spacing w:before="0" w:after="549" w:line="300" w:lineRule="exact"/>
        <w:ind w:left="680"/>
        <w:jc w:val="left"/>
      </w:pPr>
      <w:bookmarkStart w:id="6" w:name="bookmark6"/>
      <w:r>
        <w:rPr>
          <w:rStyle w:val="Heading31"/>
        </w:rPr>
        <w:t>RULES FOR THE USE OF THE PREPAID CARD</w:t>
      </w:r>
      <w:bookmarkEnd w:id="6"/>
    </w:p>
    <w:p w:rsidR="007F5BFE" w:rsidRDefault="005834E8">
      <w:pPr>
        <w:pStyle w:val="Bodytext30"/>
        <w:numPr>
          <w:ilvl w:val="0"/>
          <w:numId w:val="4"/>
        </w:numPr>
        <w:shd w:val="clear" w:color="auto" w:fill="auto"/>
        <w:tabs>
          <w:tab w:val="left" w:pos="693"/>
        </w:tabs>
        <w:spacing w:before="0" w:after="0" w:line="274" w:lineRule="exact"/>
        <w:ind w:left="680" w:hanging="340"/>
        <w:jc w:val="both"/>
      </w:pPr>
      <w:r>
        <w:t>The prepaid card is valid for 1 year from the date of issue. Upon expiration, unused funds are transferred to the TOS account and the Customer is not entitled to request a refund of any funds remaining on the card.</w:t>
      </w:r>
    </w:p>
    <w:p w:rsidR="007F5BFE" w:rsidRDefault="005834E8">
      <w:pPr>
        <w:pStyle w:val="Bodytext20"/>
        <w:numPr>
          <w:ilvl w:val="0"/>
          <w:numId w:val="4"/>
        </w:numPr>
        <w:shd w:val="clear" w:color="auto" w:fill="auto"/>
        <w:tabs>
          <w:tab w:val="left" w:pos="693"/>
        </w:tabs>
        <w:spacing w:before="0"/>
        <w:ind w:left="680" w:hanging="340"/>
      </w:pPr>
      <w:r>
        <w:t>The prepaid card purchases include: tickets to on-site events hosted by TOS. The prepaid card does not cover the purchase of tickets to external events.</w:t>
      </w:r>
    </w:p>
    <w:p w:rsidR="007F5BFE" w:rsidRDefault="005834E8">
      <w:pPr>
        <w:pStyle w:val="Bodytext20"/>
        <w:numPr>
          <w:ilvl w:val="0"/>
          <w:numId w:val="4"/>
        </w:numPr>
        <w:shd w:val="clear" w:color="auto" w:fill="auto"/>
        <w:tabs>
          <w:tab w:val="left" w:pos="693"/>
        </w:tabs>
        <w:spacing w:before="0"/>
        <w:ind w:left="680" w:hanging="340"/>
      </w:pPr>
      <w:r>
        <w:t>The prepaid card is not redeemable for cash.</w:t>
      </w:r>
    </w:p>
    <w:p w:rsidR="007F5BFE" w:rsidRDefault="005834E8">
      <w:pPr>
        <w:pStyle w:val="Bodytext20"/>
        <w:numPr>
          <w:ilvl w:val="0"/>
          <w:numId w:val="4"/>
        </w:numPr>
        <w:shd w:val="clear" w:color="auto" w:fill="auto"/>
        <w:tabs>
          <w:tab w:val="left" w:pos="693"/>
        </w:tabs>
        <w:spacing w:before="0"/>
        <w:ind w:left="680" w:hanging="340"/>
      </w:pPr>
      <w:r>
        <w:t>You can check the balance of your prepaid card at the TOS ticket office.</w:t>
      </w:r>
    </w:p>
    <w:p w:rsidR="007F5BFE" w:rsidRDefault="005834E8">
      <w:pPr>
        <w:pStyle w:val="Bodytext20"/>
        <w:numPr>
          <w:ilvl w:val="0"/>
          <w:numId w:val="4"/>
        </w:numPr>
        <w:shd w:val="clear" w:color="auto" w:fill="auto"/>
        <w:tabs>
          <w:tab w:val="left" w:pos="693"/>
        </w:tabs>
        <w:spacing w:before="0"/>
        <w:ind w:left="680" w:hanging="340"/>
      </w:pPr>
      <w:proofErr w:type="spellStart"/>
      <w:r>
        <w:t>Toruń</w:t>
      </w:r>
      <w:proofErr w:type="spellEnd"/>
      <w:r>
        <w:t xml:space="preserve"> Symphony Orchestra is not responsible for prepaid cards that are lost or damaged after they are issued to the User. Execution of a prepaid card will constitute a valid transaction irrespective of how the User comes into possession of the card.</w:t>
      </w:r>
    </w:p>
    <w:p w:rsidR="007F5BFE" w:rsidRDefault="005834E8">
      <w:pPr>
        <w:pStyle w:val="Bodytext20"/>
        <w:numPr>
          <w:ilvl w:val="0"/>
          <w:numId w:val="4"/>
        </w:numPr>
        <w:shd w:val="clear" w:color="auto" w:fill="auto"/>
        <w:tabs>
          <w:tab w:val="left" w:pos="693"/>
        </w:tabs>
        <w:spacing w:before="0"/>
        <w:ind w:left="680" w:hanging="340"/>
      </w:pPr>
      <w:r>
        <w:t>If the prepaid card is lost, destroyed or stolen, the User shall not be entitled to any claims against TOS, except for the possibility of blocking the card.</w:t>
      </w:r>
    </w:p>
    <w:p w:rsidR="007F5BFE" w:rsidRDefault="005834E8">
      <w:pPr>
        <w:pStyle w:val="Bodytext20"/>
        <w:numPr>
          <w:ilvl w:val="0"/>
          <w:numId w:val="4"/>
        </w:numPr>
        <w:shd w:val="clear" w:color="auto" w:fill="auto"/>
        <w:tabs>
          <w:tab w:val="left" w:pos="693"/>
        </w:tabs>
        <w:spacing w:before="0"/>
        <w:ind w:left="680" w:hanging="340"/>
      </w:pPr>
      <w:r>
        <w:t>The User redeems the prepaid card by presenting the TOS cashier with the Prepaid Card. The cashier takes the appropriate amount from the card corresponding to the price of the event ticket.</w:t>
      </w:r>
    </w:p>
    <w:p w:rsidR="007F5BFE" w:rsidRDefault="005834E8">
      <w:pPr>
        <w:pStyle w:val="Bodytext20"/>
        <w:numPr>
          <w:ilvl w:val="0"/>
          <w:numId w:val="4"/>
        </w:numPr>
        <w:shd w:val="clear" w:color="auto" w:fill="auto"/>
        <w:tabs>
          <w:tab w:val="left" w:pos="693"/>
        </w:tabs>
        <w:spacing w:before="0"/>
        <w:ind w:left="680" w:hanging="340"/>
      </w:pPr>
      <w:r>
        <w:t>If the purchase price of tickets/goods exceeds the value of the prepaid card, the card funds must first be topped up by cash or credit card at the TOS box office and then the purchase can be made using the card.</w:t>
      </w:r>
    </w:p>
    <w:p w:rsidR="007F5BFE" w:rsidRDefault="005834E8">
      <w:pPr>
        <w:pStyle w:val="Bodytext20"/>
        <w:numPr>
          <w:ilvl w:val="0"/>
          <w:numId w:val="4"/>
        </w:numPr>
        <w:shd w:val="clear" w:color="auto" w:fill="auto"/>
        <w:tabs>
          <w:tab w:val="left" w:pos="693"/>
        </w:tabs>
        <w:spacing w:before="0"/>
        <w:ind w:left="680" w:hanging="340"/>
        <w:sectPr w:rsidR="007F5BFE">
          <w:footerReference w:type="default" r:id="rId9"/>
          <w:pgSz w:w="11900" w:h="16840"/>
          <w:pgMar w:top="237" w:right="1381" w:bottom="2143" w:left="1427" w:header="0" w:footer="3" w:gutter="0"/>
          <w:cols w:space="720"/>
          <w:noEndnote/>
          <w:docGrid w:linePitch="360"/>
        </w:sectPr>
      </w:pPr>
      <w:r>
        <w:t>If the purchase price of tickets/goods is lower than the value of the prepaid card, the unused funds remain on the card for reuse.</w:t>
      </w:r>
    </w:p>
    <w:p w:rsidR="007F5BFE" w:rsidRDefault="001E05A8">
      <w:pPr>
        <w:framePr w:h="1046" w:wrap="notBeside" w:vAnchor="text" w:hAnchor="text" w:y="1"/>
        <w:rPr>
          <w:sz w:val="2"/>
          <w:szCs w:val="2"/>
        </w:rPr>
      </w:pPr>
      <w:r>
        <w:rPr>
          <w:noProof/>
        </w:rPr>
        <w:lastRenderedPageBreak/>
        <w:drawing>
          <wp:inline distT="0" distB="0" distL="0" distR="0">
            <wp:extent cx="1143000" cy="662940"/>
            <wp:effectExtent l="0" t="0" r="0" b="0"/>
            <wp:docPr id="4" name="Obraz 2" descr="C:\Users\znach\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nach\AppData\Local\Temp\FineReader12.00\media\image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62940"/>
                    </a:xfrm>
                    <a:prstGeom prst="rect">
                      <a:avLst/>
                    </a:prstGeom>
                    <a:noFill/>
                    <a:ln>
                      <a:noFill/>
                    </a:ln>
                  </pic:spPr>
                </pic:pic>
              </a:graphicData>
            </a:graphic>
          </wp:inline>
        </w:drawing>
      </w:r>
    </w:p>
    <w:p w:rsidR="007F5BFE" w:rsidRDefault="007F5BFE">
      <w:pPr>
        <w:rPr>
          <w:sz w:val="2"/>
          <w:szCs w:val="2"/>
        </w:rPr>
      </w:pPr>
    </w:p>
    <w:p w:rsidR="007F5BFE" w:rsidRDefault="005834E8">
      <w:pPr>
        <w:pStyle w:val="Heading30"/>
        <w:keepNext/>
        <w:keepLines/>
        <w:shd w:val="clear" w:color="auto" w:fill="auto"/>
        <w:spacing w:before="1159" w:after="576" w:line="300" w:lineRule="exact"/>
        <w:ind w:left="20"/>
      </w:pPr>
      <w:bookmarkStart w:id="7" w:name="bookmark7"/>
      <w:r>
        <w:rPr>
          <w:rStyle w:val="Heading31"/>
        </w:rPr>
        <w:t>FINAL PROVISIONS</w:t>
      </w:r>
      <w:bookmarkEnd w:id="7"/>
    </w:p>
    <w:p w:rsidR="007F5BFE" w:rsidRDefault="005834E8">
      <w:pPr>
        <w:pStyle w:val="Bodytext20"/>
        <w:shd w:val="clear" w:color="auto" w:fill="auto"/>
        <w:spacing w:before="0" w:after="1387" w:line="240" w:lineRule="exact"/>
        <w:ind w:left="380" w:firstLine="0"/>
        <w:jc w:val="left"/>
      </w:pPr>
      <w:r>
        <w:t>1. The Regulations shall come into full force and effect on 01/12/2020.</w:t>
      </w:r>
    </w:p>
    <w:p w:rsidR="007F5BFE" w:rsidRDefault="005834E8">
      <w:pPr>
        <w:pStyle w:val="Heading20"/>
        <w:keepNext/>
        <w:keepLines/>
        <w:shd w:val="clear" w:color="auto" w:fill="auto"/>
        <w:spacing w:before="0" w:after="262" w:line="300" w:lineRule="exact"/>
        <w:ind w:left="20"/>
      </w:pPr>
      <w:bookmarkStart w:id="8" w:name="bookmark8"/>
      <w:r>
        <w:rPr>
          <w:rStyle w:val="Heading21"/>
        </w:rPr>
        <w:t>§ 5</w:t>
      </w:r>
      <w:bookmarkEnd w:id="8"/>
    </w:p>
    <w:p w:rsidR="007F5BFE" w:rsidRDefault="005834E8">
      <w:pPr>
        <w:pStyle w:val="Heading30"/>
        <w:keepNext/>
        <w:keepLines/>
        <w:shd w:val="clear" w:color="auto" w:fill="auto"/>
        <w:spacing w:before="0" w:after="545" w:line="300" w:lineRule="exact"/>
        <w:ind w:left="20"/>
      </w:pPr>
      <w:bookmarkStart w:id="9" w:name="bookmark9"/>
      <w:r>
        <w:rPr>
          <w:rStyle w:val="Heading31"/>
        </w:rPr>
        <w:t>DATA PROTECTION</w:t>
      </w:r>
      <w:bookmarkEnd w:id="9"/>
    </w:p>
    <w:p w:rsidR="007F5BFE" w:rsidRDefault="005834E8">
      <w:pPr>
        <w:pStyle w:val="Bodytext20"/>
        <w:shd w:val="clear" w:color="auto" w:fill="auto"/>
        <w:spacing w:before="0" w:after="248" w:line="278" w:lineRule="exact"/>
        <w:ind w:left="280" w:firstLine="0"/>
      </w:pPr>
      <w:r>
        <w:t>According to the General Data Protection Regulation of 27 April 2016 (GDPR) as well as the relevant implementing regulations, we inform you that</w:t>
      </w:r>
    </w:p>
    <w:p w:rsidR="007F5BFE" w:rsidRDefault="005834E8">
      <w:pPr>
        <w:pStyle w:val="Bodytext20"/>
        <w:numPr>
          <w:ilvl w:val="0"/>
          <w:numId w:val="5"/>
        </w:numPr>
        <w:shd w:val="clear" w:color="auto" w:fill="auto"/>
        <w:tabs>
          <w:tab w:val="left" w:pos="1430"/>
        </w:tabs>
        <w:spacing w:before="0" w:line="269" w:lineRule="exact"/>
        <w:ind w:left="720" w:firstLine="0"/>
      </w:pPr>
      <w:r>
        <w:t xml:space="preserve">your personal data are controlled by </w:t>
      </w:r>
      <w:proofErr w:type="spellStart"/>
      <w:r>
        <w:t>Toruń</w:t>
      </w:r>
      <w:proofErr w:type="spellEnd"/>
      <w:r>
        <w:t xml:space="preserve"> Symphony Orchestra with its registered office in </w:t>
      </w:r>
      <w:proofErr w:type="spellStart"/>
      <w:r>
        <w:t>Toruń</w:t>
      </w:r>
      <w:proofErr w:type="spellEnd"/>
      <w:r>
        <w:t xml:space="preserve"> (87-100), at 1-3 </w:t>
      </w:r>
      <w:proofErr w:type="spellStart"/>
      <w:r>
        <w:t>Aleja</w:t>
      </w:r>
      <w:proofErr w:type="spellEnd"/>
      <w:r>
        <w:t xml:space="preserve"> </w:t>
      </w:r>
      <w:proofErr w:type="spellStart"/>
      <w:r>
        <w:t>Solidarności</w:t>
      </w:r>
      <w:proofErr w:type="spellEnd"/>
      <w:r>
        <w:t xml:space="preserve"> St., NIP (tax ID) 9561429917</w:t>
      </w:r>
    </w:p>
    <w:p w:rsidR="007F5BFE" w:rsidRDefault="005834E8">
      <w:pPr>
        <w:pStyle w:val="Bodytext20"/>
        <w:numPr>
          <w:ilvl w:val="0"/>
          <w:numId w:val="5"/>
        </w:numPr>
        <w:shd w:val="clear" w:color="auto" w:fill="auto"/>
        <w:tabs>
          <w:tab w:val="left" w:pos="1430"/>
        </w:tabs>
        <w:spacing w:before="0"/>
        <w:ind w:left="720" w:firstLine="0"/>
      </w:pPr>
      <w:r>
        <w:t xml:space="preserve">In all matters related to the processing of personal data you can contact the Data Protection Officer at email address: </w:t>
      </w:r>
      <w:hyperlink r:id="rId10" w:history="1">
        <w:r>
          <w:rPr>
            <w:rStyle w:val="Hipercze"/>
          </w:rPr>
          <w:t>iod@tos.art.pl</w:t>
        </w:r>
      </w:hyperlink>
      <w:r>
        <w:t>. 3. Your personal data will be processed in order to make a ticket reservation and contact related with it (Article 6 (1) (b) GDPR).</w:t>
      </w:r>
    </w:p>
    <w:p w:rsidR="007F5BFE" w:rsidRDefault="005834E8">
      <w:pPr>
        <w:pStyle w:val="Bodytext20"/>
        <w:numPr>
          <w:ilvl w:val="0"/>
          <w:numId w:val="5"/>
        </w:numPr>
        <w:shd w:val="clear" w:color="auto" w:fill="auto"/>
        <w:tabs>
          <w:tab w:val="left" w:pos="1430"/>
        </w:tabs>
        <w:spacing w:before="0"/>
        <w:ind w:left="720" w:firstLine="0"/>
      </w:pPr>
      <w:r>
        <w:t>Your personal data will be received only by entities authorised to obtain personal data on the basis of the law, as well as the entities that are indirectly involved in contact with you (e.g. IT service providers) and the entities that process personal data on behalf of the controller on the basis of the agreement on entrusting data for processing concluded with the controller.</w:t>
      </w:r>
    </w:p>
    <w:p w:rsidR="007F5BFE" w:rsidRDefault="005834E8">
      <w:pPr>
        <w:pStyle w:val="Bodytext20"/>
        <w:numPr>
          <w:ilvl w:val="0"/>
          <w:numId w:val="5"/>
        </w:numPr>
        <w:shd w:val="clear" w:color="auto" w:fill="auto"/>
        <w:tabs>
          <w:tab w:val="left" w:pos="1430"/>
        </w:tabs>
        <w:spacing w:before="0"/>
        <w:ind w:left="720" w:firstLine="0"/>
      </w:pPr>
      <w:r>
        <w:t>Your personal data will be kept for the period necessary to achieve the purposes set out above</w:t>
      </w:r>
    </w:p>
    <w:p w:rsidR="007F5BFE" w:rsidRDefault="005834E8">
      <w:pPr>
        <w:pStyle w:val="Bodytext20"/>
        <w:numPr>
          <w:ilvl w:val="0"/>
          <w:numId w:val="5"/>
        </w:numPr>
        <w:shd w:val="clear" w:color="auto" w:fill="auto"/>
        <w:tabs>
          <w:tab w:val="left" w:pos="1430"/>
        </w:tabs>
        <w:spacing w:before="0"/>
        <w:ind w:left="720" w:firstLine="0"/>
      </w:pPr>
      <w:r>
        <w:t>You have the right to request access to your personal data from the controller, the right to rectify and delete your personal data, the right to limit the processing of and object to the processing of your personal data.</w:t>
      </w:r>
    </w:p>
    <w:p w:rsidR="007F5BFE" w:rsidRDefault="005834E8">
      <w:pPr>
        <w:pStyle w:val="Bodytext20"/>
        <w:numPr>
          <w:ilvl w:val="0"/>
          <w:numId w:val="5"/>
        </w:numPr>
        <w:shd w:val="clear" w:color="auto" w:fill="auto"/>
        <w:tabs>
          <w:tab w:val="left" w:pos="1430"/>
        </w:tabs>
        <w:spacing w:before="0"/>
        <w:ind w:left="720" w:firstLine="0"/>
      </w:pPr>
      <w:r>
        <w:t>You also have the right to lodge a complaint to the supervisory authority, i.e. the President of Personal Data Protection Office.</w:t>
      </w:r>
    </w:p>
    <w:p w:rsidR="007F5BFE" w:rsidRDefault="005834E8">
      <w:pPr>
        <w:pStyle w:val="Bodytext20"/>
        <w:numPr>
          <w:ilvl w:val="0"/>
          <w:numId w:val="5"/>
        </w:numPr>
        <w:shd w:val="clear" w:color="auto" w:fill="auto"/>
        <w:tabs>
          <w:tab w:val="left" w:pos="1430"/>
        </w:tabs>
        <w:spacing w:before="0"/>
        <w:ind w:left="720" w:firstLine="0"/>
      </w:pPr>
      <w:r>
        <w:t>Providing personal data is optional, however, a failure to provide them will make rendering of the service impossible.</w:t>
      </w:r>
    </w:p>
    <w:sectPr w:rsidR="007F5BFE">
      <w:headerReference w:type="default" r:id="rId11"/>
      <w:footerReference w:type="default" r:id="rId12"/>
      <w:pgSz w:w="11900" w:h="16840"/>
      <w:pgMar w:top="254" w:right="1387" w:bottom="254" w:left="141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058" w:rsidRDefault="00665058">
      <w:r>
        <w:separator/>
      </w:r>
    </w:p>
  </w:endnote>
  <w:endnote w:type="continuationSeparator" w:id="0">
    <w:p w:rsidR="00665058" w:rsidRDefault="0066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BFE" w:rsidRDefault="001E05A8">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5944870</wp:posOffset>
              </wp:positionH>
              <wp:positionV relativeFrom="page">
                <wp:posOffset>10051415</wp:posOffset>
              </wp:positionV>
              <wp:extent cx="716915" cy="175260"/>
              <wp:effectExtent l="1270" t="254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BFE" w:rsidRDefault="005834E8">
                          <w:pPr>
                            <w:pStyle w:val="Headerorfooter0"/>
                            <w:shd w:val="clear" w:color="auto" w:fill="auto"/>
                            <w:spacing w:line="240" w:lineRule="auto"/>
                          </w:pPr>
                          <w:r>
                            <w:rPr>
                              <w:rStyle w:val="Headerorfooter1"/>
                            </w:rPr>
                            <w:t xml:space="preserve">Page </w:t>
                          </w:r>
                          <w:r>
                            <w:fldChar w:fldCharType="begin"/>
                          </w:r>
                          <w:r>
                            <w:instrText xml:space="preserve"> PAGE \* MERGEFORMAT </w:instrText>
                          </w:r>
                          <w:r>
                            <w:fldChar w:fldCharType="separate"/>
                          </w:r>
                          <w:r>
                            <w:rPr>
                              <w:rStyle w:val="Headerorfooter11ptBold"/>
                            </w:rPr>
                            <w:t>#</w:t>
                          </w:r>
                          <w:r>
                            <w:rPr>
                              <w:rStyle w:val="Headerorfooter11ptBold"/>
                            </w:rPr>
                            <w:fldChar w:fldCharType="end"/>
                          </w:r>
                          <w:r>
                            <w:rPr>
                              <w:rStyle w:val="Headerorfooter11pt"/>
                            </w:rPr>
                            <w:t xml:space="preserve"> </w:t>
                          </w:r>
                          <w:r>
                            <w:rPr>
                              <w:rStyle w:val="Headerorfooter1"/>
                            </w:rPr>
                            <w:t xml:space="preserve">out of </w:t>
                          </w:r>
                          <w:r>
                            <w:rPr>
                              <w:rStyle w:val="Headerorfooter11ptBold"/>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68.1pt;margin-top:791.45pt;width:56.4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8hqwIAAKY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" filled="f" stroked="f">
              <v:textbox style="mso-fit-shape-to-text:t" inset="0,0,0,0">
                <w:txbxContent>
                  <w:p w:rsidR="007F5BFE" w:rsidRDefault="005834E8">
                    <w:pPr>
                      <w:pStyle w:val="Headerorfooter0"/>
                      <w:shd w:val="clear" w:color="auto" w:fill="auto"/>
                      <w:spacing w:line="240" w:lineRule="auto"/>
                    </w:pPr>
                    <w:r>
                      <w:rPr>
                        <w:rStyle w:val="Headerorfooter1"/>
                      </w:rPr>
                      <w:t xml:space="preserve">Page </w:t>
                    </w:r>
                    <w:r>
                      <w:fldChar w:fldCharType="begin"/>
                    </w:r>
                    <w:r>
                      <w:instrText xml:space="preserve"> PAGE \* MERGEFORMAT </w:instrText>
                    </w:r>
                    <w:r>
                      <w:fldChar w:fldCharType="separate"/>
                    </w:r>
                    <w:r>
                      <w:rPr>
                        <w:rStyle w:val="Headerorfooter11ptBold"/>
                      </w:rPr>
                      <w:t>#</w:t>
                    </w:r>
                    <w:r>
                      <w:rPr>
                        <w:rStyle w:val="Headerorfooter11ptBold"/>
                      </w:rPr>
                      <w:fldChar w:fldCharType="end"/>
                    </w:r>
                    <w:r>
                      <w:rPr>
                        <w:rStyle w:val="Headerorfooter11pt"/>
                      </w:rPr>
                      <w:t xml:space="preserve"> </w:t>
                    </w:r>
                    <w:r>
                      <w:rPr>
                        <w:rStyle w:val="Headerorfooter1"/>
                      </w:rPr>
                      <w:t xml:space="preserve">out of </w:t>
                    </w:r>
                    <w:r>
                      <w:rPr>
                        <w:rStyle w:val="Headerorfooter11ptBold"/>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BFE" w:rsidRDefault="001E05A8">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5937885</wp:posOffset>
              </wp:positionH>
              <wp:positionV relativeFrom="page">
                <wp:posOffset>10040620</wp:posOffset>
              </wp:positionV>
              <wp:extent cx="716915" cy="175260"/>
              <wp:effectExtent l="3810" t="1270" r="317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BFE" w:rsidRDefault="005834E8">
                          <w:pPr>
                            <w:pStyle w:val="Headerorfooter0"/>
                            <w:shd w:val="clear" w:color="auto" w:fill="auto"/>
                            <w:spacing w:line="240" w:lineRule="auto"/>
                          </w:pPr>
                          <w:r>
                            <w:rPr>
                              <w:rStyle w:val="Headerorfooter1"/>
                            </w:rPr>
                            <w:t xml:space="preserve">Page </w:t>
                          </w:r>
                          <w:r>
                            <w:fldChar w:fldCharType="begin"/>
                          </w:r>
                          <w:r>
                            <w:instrText xml:space="preserve"> PAGE \* MERGEFORMAT </w:instrText>
                          </w:r>
                          <w:r>
                            <w:fldChar w:fldCharType="separate"/>
                          </w:r>
                          <w:r>
                            <w:rPr>
                              <w:rStyle w:val="Headerorfooter11ptBold"/>
                            </w:rPr>
                            <w:t>#</w:t>
                          </w:r>
                          <w:r>
                            <w:rPr>
                              <w:rStyle w:val="Headerorfooter11ptBold"/>
                            </w:rPr>
                            <w:fldChar w:fldCharType="end"/>
                          </w:r>
                          <w:r>
                            <w:rPr>
                              <w:rStyle w:val="Headerorfooter11pt"/>
                            </w:rPr>
                            <w:t xml:space="preserve"> </w:t>
                          </w:r>
                          <w:r>
                            <w:rPr>
                              <w:rStyle w:val="Headerorfooter1"/>
                            </w:rPr>
                            <w:t xml:space="preserve">out of </w:t>
                          </w:r>
                          <w:r>
                            <w:rPr>
                              <w:rStyle w:val="Headerorfooter11ptBold"/>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67.55pt;margin-top:790.6pt;width:56.4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" filled="f" stroked="f">
              <v:textbox style="mso-fit-shape-to-text:t" inset="0,0,0,0">
                <w:txbxContent>
                  <w:p w:rsidR="007F5BFE" w:rsidRDefault="005834E8">
                    <w:pPr>
                      <w:pStyle w:val="Headerorfooter0"/>
                      <w:shd w:val="clear" w:color="auto" w:fill="auto"/>
                      <w:spacing w:line="240" w:lineRule="auto"/>
                    </w:pPr>
                    <w:r>
                      <w:rPr>
                        <w:rStyle w:val="Headerorfooter1"/>
                      </w:rPr>
                      <w:t xml:space="preserve">Page </w:t>
                    </w:r>
                    <w:r>
                      <w:fldChar w:fldCharType="begin"/>
                    </w:r>
                    <w:r>
                      <w:instrText xml:space="preserve"> PAGE \* MERGEFORMAT </w:instrText>
                    </w:r>
                    <w:r>
                      <w:fldChar w:fldCharType="separate"/>
                    </w:r>
                    <w:r>
                      <w:rPr>
                        <w:rStyle w:val="Headerorfooter11ptBold"/>
                      </w:rPr>
                      <w:t>#</w:t>
                    </w:r>
                    <w:r>
                      <w:rPr>
                        <w:rStyle w:val="Headerorfooter11ptBold"/>
                      </w:rPr>
                      <w:fldChar w:fldCharType="end"/>
                    </w:r>
                    <w:r>
                      <w:rPr>
                        <w:rStyle w:val="Headerorfooter11pt"/>
                      </w:rPr>
                      <w:t xml:space="preserve"> </w:t>
                    </w:r>
                    <w:r>
                      <w:rPr>
                        <w:rStyle w:val="Headerorfooter1"/>
                      </w:rPr>
                      <w:t xml:space="preserve">out of </w:t>
                    </w:r>
                    <w:r>
                      <w:rPr>
                        <w:rStyle w:val="Headerorfooter11ptBold"/>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058" w:rsidRDefault="00665058"/>
  </w:footnote>
  <w:footnote w:type="continuationSeparator" w:id="0">
    <w:p w:rsidR="00665058" w:rsidRDefault="006650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BFE" w:rsidRDefault="001E05A8">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3663950</wp:posOffset>
              </wp:positionH>
              <wp:positionV relativeFrom="page">
                <wp:posOffset>1231900</wp:posOffset>
              </wp:positionV>
              <wp:extent cx="191135" cy="175260"/>
              <wp:effectExtent l="0" t="3175" r="254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BFE" w:rsidRDefault="005834E8">
                          <w:pPr>
                            <w:pStyle w:val="Headerorfooter0"/>
                            <w:shd w:val="clear" w:color="auto" w:fill="auto"/>
                            <w:spacing w:line="240" w:lineRule="auto"/>
                          </w:pPr>
                          <w:r>
                            <w:rPr>
                              <w:rStyle w:val="Headerorfooter2"/>
                            </w:rPr>
                            <w:t>§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8.5pt;margin-top:97pt;width:15.0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" filled="f" stroked="f">
              <v:textbox style="mso-fit-shape-to-text:t" inset="0,0,0,0">
                <w:txbxContent>
                  <w:p w:rsidR="007F5BFE" w:rsidRDefault="005834E8">
                    <w:pPr>
                      <w:pStyle w:val="Headerorfooter0"/>
                      <w:shd w:val="clear" w:color="auto" w:fill="auto"/>
                      <w:spacing w:line="240" w:lineRule="auto"/>
                    </w:pPr>
                    <w:r>
                      <w:rPr>
                        <w:rStyle w:val="Headerorfooter2"/>
                      </w:rPr>
                      <w:t>§ 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C683A"/>
    <w:multiLevelType w:val="multilevel"/>
    <w:tmpl w:val="95ECF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9302CB"/>
    <w:multiLevelType w:val="multilevel"/>
    <w:tmpl w:val="8F227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7A3F39"/>
    <w:multiLevelType w:val="multilevel"/>
    <w:tmpl w:val="510229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9E6042"/>
    <w:multiLevelType w:val="multilevel"/>
    <w:tmpl w:val="1BE47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C23215"/>
    <w:multiLevelType w:val="multilevel"/>
    <w:tmpl w:val="20802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FE"/>
    <w:rsid w:val="001E05A8"/>
    <w:rsid w:val="005834E8"/>
    <w:rsid w:val="00665058"/>
    <w:rsid w:val="007F5BFE"/>
    <w:rsid w:val="00E56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1F12F"/>
  <w15:docId w15:val="{73FFC0CE-81A1-488C-9FFF-558711B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n-GB"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omylnaczcionkaakapitu"/>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pl-PL" w:bidi="pl-PL"/>
    </w:rPr>
  </w:style>
  <w:style w:type="character" w:customStyle="1" w:styleId="Headerorfooter11ptBold">
    <w:name w:val="Header or footer + 11 pt;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GB" w:eastAsia="pl-PL" w:bidi="pl-PL"/>
    </w:rPr>
  </w:style>
  <w:style w:type="character" w:customStyle="1" w:styleId="Headerorfooter11pt">
    <w:name w:val="Header or footer + 11 pt"/>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GB" w:eastAsia="pl-PL" w:bidi="pl-PL"/>
    </w:rPr>
  </w:style>
  <w:style w:type="character" w:customStyle="1" w:styleId="Bodytext3">
    <w:name w:val="Body text (3)_"/>
    <w:basedOn w:val="Domylnaczcionkaakapitu"/>
    <w:link w:val="Bodytext30"/>
    <w:rPr>
      <w:rFonts w:ascii="Times New Roman" w:eastAsia="Times New Roman" w:hAnsi="Times New Roman" w:cs="Times New Roman"/>
      <w:b/>
      <w:bCs/>
      <w:i w:val="0"/>
      <w:iCs w:val="0"/>
      <w:smallCaps w:val="0"/>
      <w:strike w:val="0"/>
      <w:u w:val="none"/>
    </w:rPr>
  </w:style>
  <w:style w:type="character" w:customStyle="1" w:styleId="Heading3">
    <w:name w:val="Heading #3_"/>
    <w:basedOn w:val="Domylnaczcionkaakapitu"/>
    <w:link w:val="Heading30"/>
    <w:rPr>
      <w:rFonts w:ascii="Calibri" w:eastAsia="Calibri" w:hAnsi="Calibri" w:cs="Calibri"/>
      <w:b w:val="0"/>
      <w:bCs w:val="0"/>
      <w:i w:val="0"/>
      <w:iCs w:val="0"/>
      <w:smallCaps w:val="0"/>
      <w:strike w:val="0"/>
      <w:sz w:val="30"/>
      <w:szCs w:val="30"/>
      <w:u w:val="none"/>
    </w:rPr>
  </w:style>
  <w:style w:type="character" w:customStyle="1" w:styleId="Heading31">
    <w:name w:val="Heading #3"/>
    <w:basedOn w:val="Heading3"/>
    <w:rPr>
      <w:rFonts w:ascii="Calibri" w:eastAsia="Calibri" w:hAnsi="Calibri" w:cs="Calibri"/>
      <w:b w:val="0"/>
      <w:bCs w:val="0"/>
      <w:i w:val="0"/>
      <w:iCs w:val="0"/>
      <w:smallCaps w:val="0"/>
      <w:strike w:val="0"/>
      <w:color w:val="000000"/>
      <w:spacing w:val="0"/>
      <w:w w:val="100"/>
      <w:position w:val="0"/>
      <w:sz w:val="30"/>
      <w:szCs w:val="30"/>
      <w:u w:val="none"/>
      <w:lang w:val="en-GB" w:eastAsia="pl-PL" w:bidi="pl-PL"/>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Domylnaczcionkaakapitu"/>
    <w:link w:val="Bodytext40"/>
    <w:rPr>
      <w:rFonts w:ascii="Calibri" w:eastAsia="Calibri" w:hAnsi="Calibri" w:cs="Calibri"/>
      <w:b w:val="0"/>
      <w:bCs w:val="0"/>
      <w:i w:val="0"/>
      <w:iCs w:val="0"/>
      <w:smallCaps w:val="0"/>
      <w:strike w:val="0"/>
      <w:spacing w:val="90"/>
      <w:sz w:val="10"/>
      <w:szCs w:val="10"/>
      <w:u w:val="none"/>
    </w:rPr>
  </w:style>
  <w:style w:type="character" w:customStyle="1" w:styleId="Bodytext41">
    <w:name w:val="Body text (4)"/>
    <w:basedOn w:val="Bodytext4"/>
    <w:rPr>
      <w:rFonts w:ascii="Calibri" w:eastAsia="Calibri" w:hAnsi="Calibri" w:cs="Calibri"/>
      <w:b w:val="0"/>
      <w:bCs w:val="0"/>
      <w:i w:val="0"/>
      <w:iCs w:val="0"/>
      <w:smallCaps w:val="0"/>
      <w:strike w:val="0"/>
      <w:color w:val="000000"/>
      <w:spacing w:val="90"/>
      <w:w w:val="100"/>
      <w:position w:val="0"/>
      <w:sz w:val="10"/>
      <w:szCs w:val="10"/>
      <w:u w:val="none"/>
      <w:lang w:val="en-GB" w:eastAsia="pl-PL" w:bidi="pl-PL"/>
    </w:rPr>
  </w:style>
  <w:style w:type="character" w:customStyle="1" w:styleId="Bodytext5">
    <w:name w:val="Body text (5)_"/>
    <w:basedOn w:val="Domylnaczcionkaakapitu"/>
    <w:link w:val="Bodytext50"/>
    <w:rPr>
      <w:rFonts w:ascii="Calibri" w:eastAsia="Calibri" w:hAnsi="Calibri" w:cs="Calibri"/>
      <w:b/>
      <w:bCs/>
      <w:i w:val="0"/>
      <w:iCs w:val="0"/>
      <w:smallCaps w:val="0"/>
      <w:strike w:val="0"/>
      <w:sz w:val="24"/>
      <w:szCs w:val="24"/>
      <w:u w:val="none"/>
    </w:rPr>
  </w:style>
  <w:style w:type="character" w:customStyle="1" w:styleId="Bodytext51">
    <w:name w:val="Body text (5)"/>
    <w:basedOn w:val="Bodytext5"/>
    <w:rPr>
      <w:rFonts w:ascii="Calibri" w:eastAsia="Calibri" w:hAnsi="Calibri" w:cs="Calibri"/>
      <w:b/>
      <w:bCs/>
      <w:i w:val="0"/>
      <w:iCs w:val="0"/>
      <w:smallCaps w:val="0"/>
      <w:strike w:val="0"/>
      <w:color w:val="000000"/>
      <w:spacing w:val="0"/>
      <w:w w:val="100"/>
      <w:position w:val="0"/>
      <w:sz w:val="24"/>
      <w:szCs w:val="24"/>
      <w:u w:val="none"/>
      <w:lang w:val="en-GB" w:eastAsia="pl-PL" w:bidi="pl-PL"/>
    </w:rPr>
  </w:style>
  <w:style w:type="character" w:customStyle="1" w:styleId="Bodytext6">
    <w:name w:val="Body text (6)_"/>
    <w:basedOn w:val="Domylnaczcionkaakapitu"/>
    <w:link w:val="Bodytext60"/>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en-GB" w:eastAsia="pl-PL" w:bidi="pl-PL"/>
    </w:rPr>
  </w:style>
  <w:style w:type="character" w:customStyle="1" w:styleId="Heading1">
    <w:name w:val="Heading #1_"/>
    <w:basedOn w:val="Domylnaczcionkaakapitu"/>
    <w:link w:val="Heading10"/>
    <w:rPr>
      <w:rFonts w:ascii="Calibri" w:eastAsia="Calibri" w:hAnsi="Calibri" w:cs="Calibri"/>
      <w:b w:val="0"/>
      <w:bCs w:val="0"/>
      <w:i w:val="0"/>
      <w:iCs w:val="0"/>
      <w:smallCaps w:val="0"/>
      <w:strike w:val="0"/>
      <w:sz w:val="32"/>
      <w:szCs w:val="32"/>
      <w:u w:val="none"/>
    </w:rPr>
  </w:style>
  <w:style w:type="character" w:customStyle="1" w:styleId="Heading11">
    <w:name w:val="Heading #1"/>
    <w:basedOn w:val="Heading1"/>
    <w:rPr>
      <w:rFonts w:ascii="Calibri" w:eastAsia="Calibri" w:hAnsi="Calibri" w:cs="Calibri"/>
      <w:b w:val="0"/>
      <w:bCs w:val="0"/>
      <w:i w:val="0"/>
      <w:iCs w:val="0"/>
      <w:smallCaps w:val="0"/>
      <w:strike w:val="0"/>
      <w:color w:val="000000"/>
      <w:spacing w:val="0"/>
      <w:w w:val="100"/>
      <w:position w:val="0"/>
      <w:sz w:val="32"/>
      <w:szCs w:val="32"/>
      <w:u w:val="none"/>
      <w:lang w:val="en-GB" w:eastAsia="pl-PL" w:bidi="pl-PL"/>
    </w:rPr>
  </w:style>
  <w:style w:type="character" w:customStyle="1" w:styleId="Bodytext7">
    <w:name w:val="Body text (7)_"/>
    <w:basedOn w:val="Domylnaczcionkaakapitu"/>
    <w:link w:val="Bodytext70"/>
    <w:rPr>
      <w:rFonts w:ascii="Courier New" w:eastAsia="Courier New" w:hAnsi="Courier New" w:cs="Courier New"/>
      <w:b/>
      <w:bCs/>
      <w:i w:val="0"/>
      <w:iCs w:val="0"/>
      <w:smallCaps w:val="0"/>
      <w:strike w:val="0"/>
      <w:sz w:val="38"/>
      <w:szCs w:val="38"/>
      <w:u w:val="none"/>
    </w:rPr>
  </w:style>
  <w:style w:type="character" w:customStyle="1" w:styleId="Bodytext71">
    <w:name w:val="Body text (7)"/>
    <w:basedOn w:val="Bodytext7"/>
    <w:rPr>
      <w:rFonts w:ascii="Courier New" w:eastAsia="Courier New" w:hAnsi="Courier New" w:cs="Courier New"/>
      <w:b/>
      <w:bCs/>
      <w:i w:val="0"/>
      <w:iCs w:val="0"/>
      <w:smallCaps w:val="0"/>
      <w:strike w:val="0"/>
      <w:color w:val="000000"/>
      <w:spacing w:val="0"/>
      <w:w w:val="100"/>
      <w:position w:val="0"/>
      <w:sz w:val="38"/>
      <w:szCs w:val="38"/>
      <w:u w:val="none"/>
      <w:lang w:val="en-GB" w:eastAsia="pl-PL" w:bidi="pl-PL"/>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pl-PL" w:bidi="pl-PL"/>
    </w:rPr>
  </w:style>
  <w:style w:type="character" w:customStyle="1" w:styleId="Heading2">
    <w:name w:val="Heading #2_"/>
    <w:basedOn w:val="Domylnaczcionkaakapitu"/>
    <w:link w:val="Heading20"/>
    <w:rPr>
      <w:rFonts w:ascii="Calibri" w:eastAsia="Calibri" w:hAnsi="Calibri" w:cs="Calibri"/>
      <w:b w:val="0"/>
      <w:bCs w:val="0"/>
      <w:i w:val="0"/>
      <w:iCs w:val="0"/>
      <w:smallCaps w:val="0"/>
      <w:strike w:val="0"/>
      <w:sz w:val="30"/>
      <w:szCs w:val="30"/>
      <w:u w:val="none"/>
    </w:rPr>
  </w:style>
  <w:style w:type="character" w:customStyle="1" w:styleId="Heading21">
    <w:name w:val="Heading #2"/>
    <w:basedOn w:val="Heading2"/>
    <w:rPr>
      <w:rFonts w:ascii="Calibri" w:eastAsia="Calibri" w:hAnsi="Calibri" w:cs="Calibri"/>
      <w:b w:val="0"/>
      <w:bCs w:val="0"/>
      <w:i w:val="0"/>
      <w:iCs w:val="0"/>
      <w:smallCaps w:val="0"/>
      <w:strike w:val="0"/>
      <w:color w:val="000000"/>
      <w:spacing w:val="0"/>
      <w:w w:val="100"/>
      <w:position w:val="0"/>
      <w:sz w:val="30"/>
      <w:szCs w:val="30"/>
      <w:u w:val="none"/>
      <w:lang w:val="en-GB" w:eastAsia="pl-PL" w:bidi="pl-PL"/>
    </w:rPr>
  </w:style>
  <w:style w:type="paragraph" w:customStyle="1" w:styleId="Bodytext20">
    <w:name w:val="Body text (2)"/>
    <w:basedOn w:val="Normalny"/>
    <w:link w:val="Bodytext2"/>
    <w:pPr>
      <w:shd w:val="clear" w:color="auto" w:fill="FFFFFF"/>
      <w:spacing w:before="1020" w:line="274" w:lineRule="exact"/>
      <w:ind w:hanging="360"/>
      <w:jc w:val="both"/>
    </w:pPr>
    <w:rPr>
      <w:rFonts w:ascii="Times New Roman" w:eastAsia="Times New Roman" w:hAnsi="Times New Roman" w:cs="Times New Roman"/>
    </w:rPr>
  </w:style>
  <w:style w:type="paragraph" w:customStyle="1" w:styleId="Headerorfooter0">
    <w:name w:val="Header or footer"/>
    <w:basedOn w:val="Normalny"/>
    <w:link w:val="Headerorfooter"/>
    <w:pPr>
      <w:shd w:val="clear" w:color="auto" w:fill="FFFFFF"/>
      <w:spacing w:line="0" w:lineRule="atLeast"/>
    </w:pPr>
    <w:rPr>
      <w:rFonts w:ascii="Times New Roman" w:eastAsia="Times New Roman" w:hAnsi="Times New Roman" w:cs="Times New Roman"/>
    </w:rPr>
  </w:style>
  <w:style w:type="paragraph" w:customStyle="1" w:styleId="Bodytext30">
    <w:name w:val="Body text (3)"/>
    <w:basedOn w:val="Normalny"/>
    <w:link w:val="Bodytext3"/>
    <w:pPr>
      <w:shd w:val="clear" w:color="auto" w:fill="FFFFFF"/>
      <w:spacing w:before="780" w:after="1740" w:line="0" w:lineRule="atLeast"/>
      <w:ind w:hanging="360"/>
      <w:jc w:val="center"/>
    </w:pPr>
    <w:rPr>
      <w:rFonts w:ascii="Times New Roman" w:eastAsia="Times New Roman" w:hAnsi="Times New Roman" w:cs="Times New Roman"/>
      <w:b/>
      <w:bCs/>
    </w:rPr>
  </w:style>
  <w:style w:type="paragraph" w:customStyle="1" w:styleId="Heading30">
    <w:name w:val="Heading #3"/>
    <w:basedOn w:val="Normalny"/>
    <w:link w:val="Heading3"/>
    <w:pPr>
      <w:shd w:val="clear" w:color="auto" w:fill="FFFFFF"/>
      <w:spacing w:before="1740" w:after="240" w:line="0" w:lineRule="atLeast"/>
      <w:jc w:val="center"/>
      <w:outlineLvl w:val="2"/>
    </w:pPr>
    <w:rPr>
      <w:rFonts w:ascii="Calibri" w:eastAsia="Calibri" w:hAnsi="Calibri" w:cs="Calibri"/>
      <w:sz w:val="30"/>
      <w:szCs w:val="30"/>
    </w:rPr>
  </w:style>
  <w:style w:type="paragraph" w:customStyle="1" w:styleId="Bodytext40">
    <w:name w:val="Body text (4)"/>
    <w:basedOn w:val="Normalny"/>
    <w:link w:val="Bodytext4"/>
    <w:pPr>
      <w:shd w:val="clear" w:color="auto" w:fill="FFFFFF"/>
      <w:spacing w:line="230" w:lineRule="exact"/>
    </w:pPr>
    <w:rPr>
      <w:rFonts w:ascii="Calibri" w:eastAsia="Calibri" w:hAnsi="Calibri" w:cs="Calibri"/>
      <w:spacing w:val="90"/>
      <w:sz w:val="10"/>
      <w:szCs w:val="10"/>
    </w:rPr>
  </w:style>
  <w:style w:type="paragraph" w:customStyle="1" w:styleId="Bodytext50">
    <w:name w:val="Body text (5)"/>
    <w:basedOn w:val="Normalny"/>
    <w:link w:val="Bodytext5"/>
    <w:pPr>
      <w:shd w:val="clear" w:color="auto" w:fill="FFFFFF"/>
      <w:spacing w:line="230" w:lineRule="exact"/>
      <w:jc w:val="both"/>
    </w:pPr>
    <w:rPr>
      <w:rFonts w:ascii="Calibri" w:eastAsia="Calibri" w:hAnsi="Calibri" w:cs="Calibri"/>
      <w:b/>
      <w:bCs/>
    </w:rPr>
  </w:style>
  <w:style w:type="paragraph" w:customStyle="1" w:styleId="Bodytext60">
    <w:name w:val="Body text (6)"/>
    <w:basedOn w:val="Normalny"/>
    <w:link w:val="Bodytext6"/>
    <w:pPr>
      <w:shd w:val="clear" w:color="auto" w:fill="FFFFFF"/>
      <w:spacing w:after="60" w:line="230" w:lineRule="exact"/>
      <w:jc w:val="both"/>
    </w:pPr>
    <w:rPr>
      <w:rFonts w:ascii="Times New Roman" w:eastAsia="Times New Roman" w:hAnsi="Times New Roman" w:cs="Times New Roman"/>
      <w:spacing w:val="20"/>
      <w:sz w:val="16"/>
      <w:szCs w:val="16"/>
    </w:rPr>
  </w:style>
  <w:style w:type="paragraph" w:customStyle="1" w:styleId="Heading10">
    <w:name w:val="Heading #1"/>
    <w:basedOn w:val="Normalny"/>
    <w:link w:val="Heading1"/>
    <w:pPr>
      <w:shd w:val="clear" w:color="auto" w:fill="FFFFFF"/>
      <w:spacing w:before="60" w:line="0" w:lineRule="atLeast"/>
      <w:jc w:val="both"/>
      <w:outlineLvl w:val="0"/>
    </w:pPr>
    <w:rPr>
      <w:rFonts w:ascii="Calibri" w:eastAsia="Calibri" w:hAnsi="Calibri" w:cs="Calibri"/>
      <w:sz w:val="32"/>
      <w:szCs w:val="32"/>
    </w:rPr>
  </w:style>
  <w:style w:type="paragraph" w:customStyle="1" w:styleId="Bodytext70">
    <w:name w:val="Body text (7)"/>
    <w:basedOn w:val="Normalny"/>
    <w:link w:val="Bodytext7"/>
    <w:pPr>
      <w:shd w:val="clear" w:color="auto" w:fill="FFFFFF"/>
      <w:spacing w:after="540" w:line="0" w:lineRule="atLeast"/>
      <w:jc w:val="both"/>
    </w:pPr>
    <w:rPr>
      <w:rFonts w:ascii="Courier New" w:eastAsia="Courier New" w:hAnsi="Courier New" w:cs="Courier New"/>
      <w:b/>
      <w:bCs/>
      <w:sz w:val="38"/>
      <w:szCs w:val="38"/>
    </w:rPr>
  </w:style>
  <w:style w:type="paragraph" w:customStyle="1" w:styleId="Heading20">
    <w:name w:val="Heading #2"/>
    <w:basedOn w:val="Normalny"/>
    <w:link w:val="Heading2"/>
    <w:pPr>
      <w:shd w:val="clear" w:color="auto" w:fill="FFFFFF"/>
      <w:spacing w:before="1440" w:after="360" w:line="0" w:lineRule="atLeast"/>
      <w:jc w:val="center"/>
      <w:outlineLvl w:val="1"/>
    </w:pPr>
    <w:rPr>
      <w:rFonts w:ascii="Calibri" w:eastAsia="Calibri" w:hAnsi="Calibri" w:cs="Calibri"/>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kretariat@tos.art.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tos.art.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841</Words>
  <Characters>4071</Characters>
  <Application>Microsoft Office Word</Application>
  <DocSecurity>0</DocSecurity>
  <Lines>94</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znach</dc:creator>
  <cp:lastModifiedBy>znach</cp:lastModifiedBy>
  <cp:revision>2</cp:revision>
  <dcterms:created xsi:type="dcterms:W3CDTF">2021-07-30T13:26:00Z</dcterms:created>
  <dcterms:modified xsi:type="dcterms:W3CDTF">2021-08-05T13:15:00Z</dcterms:modified>
</cp:coreProperties>
</file>